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7 AI ASSIST</w:t>
      </w:r>
    </w:p>
    <w:p>
      <w:pPr>
        <w:pStyle w:val="Title"/>
      </w:pPr>
      <w:r>
        <w:t>Condition Record Worksheet</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Review the attached records for information related to [CONDITION / HEALTH ISSUE] and draft the attached Tool 7. Use direct references to the condition and separately identify symptoms, treatment, testing, functional information, or other material that may be related only when the record itself supports that connection.</w:t>
              <w:br/>
              <w:br/>
              <w:t>Do not treat general evidence from the same anatomical region as condition-specific merely because it appears related. For example, general low-back treatment is not automatically treatment for a specific lumbar diagnosis unless the source supports that attribution. Do not diagnose a relationship between a symptom and the condition.</w:t>
              <w:br/>
              <w:br/>
              <w:t>Preserve source wording and context, identify source file and page/location when available, and keep referenced-but-not-possessed material distinct from evidence actually available. If you are unsure whether an item belongs, flag it as "Needs human review" rather than treating it as condition-specific evidence.</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